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F84" w:rsidRPr="00694987" w:rsidRDefault="00861F84" w:rsidP="00861F84">
      <w:pPr>
        <w:ind w:left="1440" w:hanging="1440"/>
        <w:jc w:val="center"/>
        <w:rPr>
          <w:rFonts w:ascii="Candara" w:hAnsi="Candara" w:cs="Arial"/>
        </w:rPr>
      </w:pPr>
      <w:bookmarkStart w:id="0" w:name="_Hlk56773713"/>
      <w:r>
        <w:rPr>
          <w:rFonts w:ascii="Candara" w:hAnsi="Candara" w:cs="Arial"/>
          <w:noProof/>
          <w:lang w:val="es-PE" w:eastAsia="es-PE"/>
        </w:rPr>
        <w:drawing>
          <wp:inline distT="0" distB="0" distL="0" distR="0" wp14:anchorId="0D04A180" wp14:editId="05B45E01">
            <wp:extent cx="1566545" cy="1176655"/>
            <wp:effectExtent l="0" t="0" r="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66545" cy="1176655"/>
                    </a:xfrm>
                    <a:prstGeom prst="rect">
                      <a:avLst/>
                    </a:prstGeom>
                    <a:noFill/>
                  </pic:spPr>
                </pic:pic>
              </a:graphicData>
            </a:graphic>
          </wp:inline>
        </w:drawing>
      </w:r>
    </w:p>
    <w:bookmarkEnd w:id="0"/>
    <w:p w:rsidR="00861F84" w:rsidRPr="005032C0" w:rsidRDefault="00861F84" w:rsidP="00861F84">
      <w:pPr>
        <w:jc w:val="both"/>
        <w:rPr>
          <w:rFonts w:cstheme="minorHAnsi"/>
          <w:b/>
          <w:sz w:val="24"/>
          <w:szCs w:val="24"/>
        </w:rPr>
      </w:pPr>
      <w:r w:rsidRPr="005032C0">
        <w:rPr>
          <w:rFonts w:cstheme="minorHAnsi"/>
          <w:b/>
          <w:sz w:val="24"/>
          <w:szCs w:val="24"/>
        </w:rPr>
        <w:t>ANEXO 1</w:t>
      </w:r>
    </w:p>
    <w:p w:rsidR="00861F84" w:rsidRPr="00642F6F" w:rsidRDefault="00861F84" w:rsidP="00861F84">
      <w:pPr>
        <w:jc w:val="both"/>
        <w:rPr>
          <w:rFonts w:cstheme="minorHAnsi"/>
          <w:b/>
          <w:bCs/>
          <w:sz w:val="24"/>
          <w:szCs w:val="24"/>
          <w:lang w:val="es-PE"/>
        </w:rPr>
      </w:pPr>
      <w:r w:rsidRPr="005032C0">
        <w:rPr>
          <w:rFonts w:cstheme="minorHAnsi"/>
          <w:b/>
          <w:sz w:val="24"/>
          <w:szCs w:val="24"/>
        </w:rPr>
        <w:t>Comentarios al</w:t>
      </w:r>
      <w:r w:rsidRPr="00BC271E">
        <w:t xml:space="preserve"> </w:t>
      </w:r>
      <w:r w:rsidRPr="00BC271E">
        <w:rPr>
          <w:rFonts w:cstheme="minorHAnsi"/>
          <w:b/>
          <w:sz w:val="24"/>
          <w:szCs w:val="24"/>
        </w:rPr>
        <w:t>Proyecto de Resolución que aprueba los contratos tipo para los servicios públicos de telecomunicaciones</w:t>
      </w:r>
      <w:r>
        <w:rPr>
          <w:rFonts w:cstheme="minorHAnsi"/>
          <w:b/>
          <w:sz w:val="24"/>
          <w:szCs w:val="24"/>
        </w:rPr>
        <w:t>.</w:t>
      </w:r>
    </w:p>
    <w:p w:rsidR="00861F84" w:rsidRPr="005032C0" w:rsidRDefault="00861F84" w:rsidP="00861F84">
      <w:pPr>
        <w:jc w:val="both"/>
        <w:rPr>
          <w:rFonts w:cstheme="minorHAnsi"/>
          <w:b/>
          <w:sz w:val="24"/>
          <w:szCs w:val="24"/>
        </w:rPr>
      </w:pPr>
    </w:p>
    <w:tbl>
      <w:tblPr>
        <w:tblStyle w:val="Tablaconcuadrcula"/>
        <w:tblW w:w="10207" w:type="dxa"/>
        <w:tblInd w:w="-714" w:type="dxa"/>
        <w:tblLook w:val="04A0" w:firstRow="1" w:lastRow="0" w:firstColumn="1" w:lastColumn="0" w:noHBand="0" w:noVBand="1"/>
      </w:tblPr>
      <w:tblGrid>
        <w:gridCol w:w="2977"/>
        <w:gridCol w:w="7230"/>
      </w:tblGrid>
      <w:tr w:rsidR="00861F84" w:rsidRPr="00D57CC6" w:rsidTr="004B3646">
        <w:tc>
          <w:tcPr>
            <w:tcW w:w="2977" w:type="dxa"/>
          </w:tcPr>
          <w:p w:rsidR="00861F84" w:rsidRPr="00D57CC6" w:rsidRDefault="00861F84" w:rsidP="004B3646">
            <w:pPr>
              <w:jc w:val="center"/>
              <w:rPr>
                <w:rFonts w:cstheme="minorHAnsi"/>
                <w:b/>
                <w:sz w:val="24"/>
                <w:szCs w:val="24"/>
              </w:rPr>
            </w:pPr>
            <w:r w:rsidRPr="00D57CC6">
              <w:rPr>
                <w:rFonts w:cstheme="minorHAnsi"/>
                <w:b/>
                <w:sz w:val="24"/>
                <w:szCs w:val="24"/>
              </w:rPr>
              <w:t>Proyecto</w:t>
            </w:r>
          </w:p>
        </w:tc>
        <w:tc>
          <w:tcPr>
            <w:tcW w:w="7230" w:type="dxa"/>
          </w:tcPr>
          <w:p w:rsidR="00861F84" w:rsidRPr="00D57CC6" w:rsidRDefault="00861F84" w:rsidP="004B3646">
            <w:pPr>
              <w:jc w:val="center"/>
              <w:rPr>
                <w:rFonts w:cstheme="minorHAnsi"/>
                <w:b/>
                <w:sz w:val="24"/>
                <w:szCs w:val="24"/>
              </w:rPr>
            </w:pPr>
            <w:r w:rsidRPr="00D57CC6">
              <w:rPr>
                <w:rFonts w:cstheme="minorHAnsi"/>
                <w:b/>
                <w:sz w:val="24"/>
                <w:szCs w:val="24"/>
              </w:rPr>
              <w:t>Comentarios</w:t>
            </w:r>
          </w:p>
        </w:tc>
      </w:tr>
      <w:tr w:rsidR="00861F84" w:rsidRPr="00D57CC6" w:rsidTr="004B3646">
        <w:tc>
          <w:tcPr>
            <w:tcW w:w="2977" w:type="dxa"/>
          </w:tcPr>
          <w:p w:rsidR="00861F84" w:rsidRDefault="00861F84" w:rsidP="004B3646">
            <w:pPr>
              <w:jc w:val="both"/>
              <w:rPr>
                <w:rFonts w:cstheme="minorHAnsi"/>
                <w:b/>
                <w:bCs/>
                <w:i/>
                <w:iCs/>
                <w:lang w:val="es-PE"/>
              </w:rPr>
            </w:pPr>
          </w:p>
          <w:p w:rsidR="00861F84" w:rsidRDefault="00861F84" w:rsidP="004B3646">
            <w:pPr>
              <w:jc w:val="both"/>
              <w:rPr>
                <w:rFonts w:cstheme="minorHAnsi"/>
                <w:i/>
              </w:rPr>
            </w:pPr>
            <w:r w:rsidRPr="00E8379F">
              <w:rPr>
                <w:rFonts w:cstheme="minorHAnsi"/>
                <w:b/>
                <w:i/>
              </w:rPr>
              <w:t>Artículo 1.-</w:t>
            </w:r>
            <w:r w:rsidRPr="00E8379F">
              <w:rPr>
                <w:rFonts w:cstheme="minorHAnsi"/>
                <w:i/>
              </w:rPr>
              <w:t xml:space="preserve"> Disponer la publicación para comentarios del Proyecto de Resolución que aprueba los contratos tipo para los servicios públicos de telecomunicaciones.</w:t>
            </w:r>
          </w:p>
          <w:p w:rsidR="00861F84" w:rsidRDefault="00861F84" w:rsidP="004B3646">
            <w:pPr>
              <w:jc w:val="both"/>
              <w:rPr>
                <w:rFonts w:cstheme="minorHAnsi"/>
                <w:i/>
              </w:rPr>
            </w:pPr>
          </w:p>
          <w:p w:rsidR="00861F84" w:rsidRPr="00E8379F" w:rsidRDefault="00861F84" w:rsidP="004B3646">
            <w:pPr>
              <w:jc w:val="both"/>
              <w:rPr>
                <w:rFonts w:cstheme="minorHAnsi"/>
                <w:i/>
              </w:rPr>
            </w:pPr>
            <w:r>
              <w:rPr>
                <w:rFonts w:cstheme="minorHAnsi"/>
                <w:i/>
              </w:rPr>
              <w:t>(…)</w:t>
            </w:r>
          </w:p>
        </w:tc>
        <w:tc>
          <w:tcPr>
            <w:tcW w:w="7230" w:type="dxa"/>
          </w:tcPr>
          <w:p w:rsidR="00861F84" w:rsidRDefault="00861F84" w:rsidP="004B3646">
            <w:pPr>
              <w:jc w:val="both"/>
              <w:rPr>
                <w:rFonts w:cstheme="minorHAnsi"/>
              </w:rPr>
            </w:pPr>
          </w:p>
          <w:p w:rsidR="00861F84" w:rsidRDefault="00861F84" w:rsidP="004B3646">
            <w:pPr>
              <w:jc w:val="both"/>
              <w:rPr>
                <w:rFonts w:cstheme="minorHAnsi"/>
                <w:lang w:val="es-ES"/>
              </w:rPr>
            </w:pPr>
            <w:r w:rsidRPr="00900F35">
              <w:rPr>
                <w:rFonts w:cstheme="minorHAnsi"/>
              </w:rPr>
              <w:t>En relación a la disposición del uso por parte de las empresas operadoras de contratos tipo para la contratación de servicios públicos móviles, telefonía fija, acceso a Internet fijo y móvil y radiodifusión por cable, sea que se ofrezcan en forma individual o empaquetada, debemos considerar que la razón de esta implementación es el problema de asimetría de información que perjudica a los usuarios y abonados de los servicios públicos de telecomunicaciones. (Exposición de Motivos de la Resolución</w:t>
            </w:r>
            <w:r w:rsidRPr="00900F35">
              <w:rPr>
                <w:rFonts w:cstheme="minorHAnsi"/>
                <w:lang w:val="es-ES"/>
              </w:rPr>
              <w:t xml:space="preserve"> de Consejo Directivo N° 00036-2020-CD/OSIPTEL, Proyecto de Norma que sustituye el artículo 17° del Texto Único Ordenado de las Condiciones de Uso de los Servicios Públicos de Telecomunicacione</w:t>
            </w:r>
            <w:r>
              <w:rPr>
                <w:rFonts w:cstheme="minorHAnsi"/>
                <w:lang w:val="es-ES"/>
              </w:rPr>
              <w:t>s).</w:t>
            </w:r>
          </w:p>
          <w:p w:rsidR="00861F84" w:rsidRDefault="00861F84" w:rsidP="004B3646">
            <w:pPr>
              <w:jc w:val="both"/>
              <w:rPr>
                <w:rFonts w:cstheme="minorHAnsi"/>
                <w:lang w:val="es-ES"/>
              </w:rPr>
            </w:pPr>
          </w:p>
          <w:p w:rsidR="00861F84" w:rsidRDefault="00861F84" w:rsidP="004B3646">
            <w:pPr>
              <w:jc w:val="both"/>
            </w:pPr>
            <w:r>
              <w:rPr>
                <w:rFonts w:cstheme="minorHAnsi"/>
                <w:lang w:val="es-ES"/>
              </w:rPr>
              <w:t xml:space="preserve">Sobre el particular, nos es de interés analizar el supuesto relacionado a las condiciones contractuales como modelo propuesto para el servicio de internet fijo. </w:t>
            </w:r>
            <w:r>
              <w:t>Al respecto, debemos señalar que, si bien compartimos la preocupación del ente regulador sobre la asimetría de información, se debe considerar que esta problemática se encuentra muy arraigada en escenarios de contratación con usuarios residenciales (y/o personas naturales) los cuales muchas veces concurren a una contratación directa sin una previa negociación ni asesoramiento especializado; supuesto contrario es la dinámica de contratación entre las empresas operadoras y el sector corporativo o empresarial, el cual maneja un nivel de información más especializado, por lo que, debería diferenciarse la aplicación del modelo de contrato propuesto y ser aplicado para usuarios residenciales (y/o persona naturales).</w:t>
            </w:r>
          </w:p>
          <w:p w:rsidR="00861F84" w:rsidRDefault="00861F84" w:rsidP="004B3646">
            <w:pPr>
              <w:jc w:val="both"/>
            </w:pPr>
          </w:p>
          <w:p w:rsidR="00861F84" w:rsidRDefault="00861F84" w:rsidP="004B3646">
            <w:pPr>
              <w:jc w:val="both"/>
            </w:pPr>
            <w:r>
              <w:t xml:space="preserve">En efecto, tal y como se señala en la página 06 del Informe N°00019-DAPU/2020:  </w:t>
            </w:r>
          </w:p>
          <w:p w:rsidR="00861F84" w:rsidRPr="0028562F" w:rsidRDefault="00861F84" w:rsidP="004B3646">
            <w:pPr>
              <w:ind w:left="708"/>
              <w:jc w:val="both"/>
              <w:rPr>
                <w:i/>
              </w:rPr>
            </w:pPr>
            <w:r>
              <w:rPr>
                <w:i/>
              </w:rPr>
              <w:t>“</w:t>
            </w:r>
            <w:r w:rsidRPr="0028562F">
              <w:rPr>
                <w:i/>
              </w:rPr>
              <w:t>Mediante carta DMR/CE/N°912/19 recibida el 23.05.2019, América Móvil presentó los siguientes comentarios referidos principalmente a lo siguiente: (…)</w:t>
            </w:r>
          </w:p>
          <w:p w:rsidR="00861F84" w:rsidRPr="0028562F" w:rsidRDefault="00861F84" w:rsidP="004B3646">
            <w:pPr>
              <w:ind w:left="708"/>
              <w:jc w:val="both"/>
              <w:rPr>
                <w:i/>
              </w:rPr>
            </w:pPr>
            <w:r w:rsidRPr="0028562F">
              <w:rPr>
                <w:i/>
              </w:rPr>
              <w:t>Solicita que la aprobación de contratos tipo solo se aplique para el segmento masivo o residencial, dada las particularidades del segmento corporativo.</w:t>
            </w:r>
            <w:r>
              <w:rPr>
                <w:i/>
              </w:rPr>
              <w:t>”</w:t>
            </w:r>
          </w:p>
          <w:p w:rsidR="00861F84" w:rsidRDefault="00861F84" w:rsidP="004B3646">
            <w:pPr>
              <w:jc w:val="both"/>
            </w:pPr>
          </w:p>
          <w:p w:rsidR="00861F84" w:rsidRDefault="00861F84" w:rsidP="004B3646">
            <w:pPr>
              <w:jc w:val="both"/>
            </w:pPr>
          </w:p>
          <w:p w:rsidR="00861F84" w:rsidRDefault="00861F84" w:rsidP="004B3646">
            <w:pPr>
              <w:jc w:val="both"/>
            </w:pPr>
            <w:r>
              <w:lastRenderedPageBreak/>
              <w:t xml:space="preserve">Pues se debe tener en cuenta que el uso de contratos tipo está pensado en el segmento residencial, donde podría presentarse una mayor asimetría de información y una tendencia de los abonados del servicio a no revisar los términos contractuales. El segmento empresarial presenta características distintas, la asimetría de información desaparece, los abonados cuentan con área especializadas encargadas de revisar los contratos de abonados de forma previa y realizar consultas sobre la aplicación de determinadas cláusulas o supuestos. </w:t>
            </w:r>
          </w:p>
          <w:p w:rsidR="00861F84" w:rsidRDefault="00861F84" w:rsidP="004B3646">
            <w:pPr>
              <w:jc w:val="both"/>
            </w:pPr>
          </w:p>
          <w:p w:rsidR="00861F84" w:rsidRDefault="00861F84" w:rsidP="004B3646">
            <w:pPr>
              <w:jc w:val="both"/>
            </w:pPr>
            <w:r>
              <w:t xml:space="preserve">Asimismo, la Exposición de Motivos de la Resolución N°153- 2020-CD/OSIPTEL, </w:t>
            </w:r>
            <w:r w:rsidRPr="00320DD2">
              <w:t xml:space="preserve">Norma que sustituye el artículo 17 del </w:t>
            </w:r>
            <w:r>
              <w:t>T</w:t>
            </w:r>
            <w:r w:rsidRPr="00320DD2">
              <w:t xml:space="preserve">exto </w:t>
            </w:r>
            <w:r>
              <w:t>Ú</w:t>
            </w:r>
            <w:r w:rsidRPr="00320DD2">
              <w:t xml:space="preserve">nico </w:t>
            </w:r>
            <w:r>
              <w:t>O</w:t>
            </w:r>
            <w:r w:rsidRPr="00320DD2">
              <w:t xml:space="preserve">rdenado de las </w:t>
            </w:r>
            <w:r>
              <w:t>C</w:t>
            </w:r>
            <w:r w:rsidRPr="00320DD2">
              <w:t xml:space="preserve">ondiciones de </w:t>
            </w:r>
            <w:r>
              <w:t>U</w:t>
            </w:r>
            <w:r w:rsidRPr="00320DD2">
              <w:t xml:space="preserve">so de los </w:t>
            </w:r>
            <w:r>
              <w:t>S</w:t>
            </w:r>
            <w:r w:rsidRPr="00320DD2">
              <w:t xml:space="preserve">ervicios </w:t>
            </w:r>
            <w:r>
              <w:t>P</w:t>
            </w:r>
            <w:r w:rsidRPr="00320DD2">
              <w:t xml:space="preserve">úblicos de </w:t>
            </w:r>
            <w:r>
              <w:t>T</w:t>
            </w:r>
            <w:r w:rsidRPr="00320DD2">
              <w:t>elecomunicaciones</w:t>
            </w:r>
            <w:r>
              <w:t>, sustenta la propuesta de incluir un modelo especifico de contrato en estadísticas y problemáticas relacionadas a usuarios residenciales:</w:t>
            </w:r>
          </w:p>
          <w:p w:rsidR="00861F84" w:rsidRDefault="00861F84" w:rsidP="004B3646">
            <w:pPr>
              <w:ind w:left="708"/>
              <w:jc w:val="both"/>
              <w:rPr>
                <w:i/>
              </w:rPr>
            </w:pPr>
            <w:r w:rsidRPr="00320DD2">
              <w:rPr>
                <w:i/>
              </w:rPr>
              <w:t>“Sin embargo, las estadísticas muestran que menos del 30% de los usuarios revisa sus contratos antes de firmarlo.</w:t>
            </w:r>
          </w:p>
          <w:p w:rsidR="00861F84" w:rsidRDefault="00861F84" w:rsidP="004B3646">
            <w:pPr>
              <w:ind w:left="708"/>
              <w:jc w:val="both"/>
              <w:rPr>
                <w:i/>
              </w:rPr>
            </w:pPr>
          </w:p>
          <w:p w:rsidR="00861F84" w:rsidRDefault="00861F84" w:rsidP="004B3646">
            <w:pPr>
              <w:ind w:left="708"/>
              <w:jc w:val="both"/>
              <w:rPr>
                <w:i/>
              </w:rPr>
            </w:pPr>
            <w:r w:rsidRPr="00320DD2">
              <w:rPr>
                <w:i/>
              </w:rPr>
              <w:t>Este desconocimiento se debe a que el lenguaje en el que está redactado el contrato muchas veces es demasiado técnico y poco cercano al usuario.”</w:t>
            </w:r>
          </w:p>
          <w:p w:rsidR="00861F84" w:rsidRPr="00320DD2" w:rsidRDefault="00861F84" w:rsidP="004B3646">
            <w:pPr>
              <w:jc w:val="both"/>
              <w:rPr>
                <w:i/>
              </w:rPr>
            </w:pPr>
          </w:p>
          <w:p w:rsidR="00861F84" w:rsidRDefault="00861F84" w:rsidP="004B3646">
            <w:pPr>
              <w:jc w:val="both"/>
            </w:pPr>
            <w:r>
              <w:t xml:space="preserve">Sin embargo, no se desarrolla o sustenta si dicho modelo de contrato debe aplicar al sector corporativo o empresarial. Por lo que solicitamos la no aplicación para dicho sector. </w:t>
            </w:r>
          </w:p>
          <w:p w:rsidR="00861F84" w:rsidRPr="007C6CE1" w:rsidRDefault="00861F84" w:rsidP="004B3646">
            <w:pPr>
              <w:jc w:val="both"/>
              <w:rPr>
                <w:rFonts w:cstheme="minorHAnsi"/>
                <w:b/>
              </w:rPr>
            </w:pPr>
          </w:p>
        </w:tc>
      </w:tr>
    </w:tbl>
    <w:p w:rsidR="00861F84" w:rsidRPr="005032C0" w:rsidRDefault="00861F84" w:rsidP="00861F84">
      <w:pPr>
        <w:jc w:val="both"/>
        <w:rPr>
          <w:rFonts w:cstheme="minorHAnsi"/>
          <w:sz w:val="24"/>
          <w:szCs w:val="24"/>
        </w:rPr>
      </w:pPr>
    </w:p>
    <w:p w:rsidR="00F35CE2" w:rsidRDefault="00F35CE2">
      <w:bookmarkStart w:id="1" w:name="_GoBack"/>
      <w:bookmarkEnd w:id="1"/>
    </w:p>
    <w:sectPr w:rsidR="00F35CE2" w:rsidSect="000C61C9">
      <w:pgSz w:w="12240" w:h="15840"/>
      <w:pgMar w:top="709"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84"/>
    <w:rsid w:val="00861F84"/>
    <w:rsid w:val="00F35CE2"/>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C44BE4-7611-4D84-A467-FF7DF7D1F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1F84"/>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861F84"/>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556</Words>
  <Characters>3062</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Matilde Gonzalez Villanueva</dc:creator>
  <cp:keywords/>
  <dc:description/>
  <cp:lastModifiedBy>Matilde Gonzalez Villanueva</cp:lastModifiedBy>
  <cp:revision>1</cp:revision>
  <dcterms:created xsi:type="dcterms:W3CDTF">2020-12-04T14:16:00Z</dcterms:created>
  <dcterms:modified xsi:type="dcterms:W3CDTF">2020-12-04T14:16:00Z</dcterms:modified>
</cp:coreProperties>
</file>